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C1C" w:rsidRDefault="0009608B" w:rsidP="0009608B">
      <w:pPr>
        <w:jc w:val="center"/>
        <w:rPr>
          <w:b/>
        </w:rPr>
      </w:pPr>
      <w:r w:rsidRPr="0009608B">
        <w:rPr>
          <w:b/>
        </w:rPr>
        <w:t>RESEARCH PROJECT/TOPICS QUALIFICATION EXERCISE HURRICANE R</w:t>
      </w:r>
      <w:r>
        <w:rPr>
          <w:b/>
        </w:rPr>
        <w:t>ESEARCH ADVISORY COMMITTEE April 14, 2022</w:t>
      </w:r>
    </w:p>
    <w:p w:rsidR="0009608B" w:rsidRPr="0009608B" w:rsidRDefault="0009608B" w:rsidP="0009608B">
      <w:pPr>
        <w:rPr>
          <w:b/>
          <w:color w:val="FF0000"/>
          <w:u w:val="single"/>
        </w:rPr>
      </w:pPr>
      <w:r w:rsidRPr="0009608B">
        <w:rPr>
          <w:b/>
          <w:color w:val="FF0000"/>
          <w:u w:val="single"/>
        </w:rPr>
        <w:t>Process for Reviewing Research Projects/Topic:</w:t>
      </w:r>
    </w:p>
    <w:p w:rsidR="0009608B" w:rsidRDefault="0009608B" w:rsidP="0009608B">
      <w:pPr>
        <w:pStyle w:val="ListParagraph"/>
        <w:numPr>
          <w:ilvl w:val="0"/>
          <w:numId w:val="1"/>
        </w:numPr>
      </w:pPr>
      <w:r w:rsidRPr="0009608B">
        <w:rPr>
          <w:b/>
        </w:rPr>
        <w:t>AUTOMATIC FUNDING</w:t>
      </w:r>
      <w:r>
        <w:t xml:space="preserve">: Projects proposals required for support of the implementation and enforcement of the 2020 FBC and/or development of the 2023 FBC will be funded by the Commission, and will not be included in the qualification exercise conducted during the April meeting or the prioritization ranking exercise conducted during the May meeting.  </w:t>
      </w:r>
    </w:p>
    <w:p w:rsidR="0009608B" w:rsidRDefault="0009608B" w:rsidP="0009608B">
      <w:pPr>
        <w:pStyle w:val="ListParagraph"/>
        <w:numPr>
          <w:ilvl w:val="0"/>
          <w:numId w:val="1"/>
        </w:numPr>
      </w:pPr>
      <w:r w:rsidRPr="0009608B">
        <w:rPr>
          <w:b/>
        </w:rPr>
        <w:t>PROCESS:</w:t>
      </w:r>
      <w:r w:rsidR="00F0527F">
        <w:t xml:space="preserve"> As posted on the agenda, nine </w:t>
      </w:r>
      <w:r>
        <w:t>project proposals/t</w:t>
      </w:r>
      <w:r w:rsidR="00F0527F">
        <w:t xml:space="preserve">opics will be evaluated in </w:t>
      </w:r>
      <w:r>
        <w:t xml:space="preserve">to determine whether they meet the criteria for funding (definitions, scope of hurricane resistance, Urgent/Needed), those that achieve the 75% approval threshold will be deemed eligible for the next round of the evaluation process (submit a scope of work for the proposal). </w:t>
      </w:r>
    </w:p>
    <w:p w:rsidR="0009608B" w:rsidRDefault="0009608B" w:rsidP="0009608B">
      <w:pPr>
        <w:pStyle w:val="ListParagraph"/>
        <w:numPr>
          <w:ilvl w:val="0"/>
          <w:numId w:val="1"/>
        </w:numPr>
      </w:pPr>
      <w:r>
        <w:t xml:space="preserve">Each PI will be given a maximum of 5 minutes to address why their proposal meets the criteria for funding and should proceed to the next round. </w:t>
      </w:r>
    </w:p>
    <w:p w:rsidR="0009608B" w:rsidRDefault="0009608B" w:rsidP="0009608B">
      <w:pPr>
        <w:pStyle w:val="ListParagraph"/>
        <w:numPr>
          <w:ilvl w:val="0"/>
          <w:numId w:val="1"/>
        </w:numPr>
      </w:pPr>
      <w:r>
        <w:t>Public comment will be received following all of the presentations and subsequently the HRAC will vote to determine which projects meet the criteria for funding.</w:t>
      </w:r>
    </w:p>
    <w:p w:rsidR="00F864E8" w:rsidRPr="00F864E8" w:rsidRDefault="00F864E8" w:rsidP="00F864E8">
      <w:pPr>
        <w:rPr>
          <w:rFonts w:ascii="Times New Roman" w:hAnsi="Times New Roman"/>
          <w:b/>
          <w:color w:val="FF0000"/>
          <w:sz w:val="24"/>
          <w:szCs w:val="24"/>
        </w:rPr>
      </w:pPr>
      <w:r w:rsidRPr="00F864E8">
        <w:rPr>
          <w:rFonts w:ascii="Times New Roman" w:hAnsi="Times New Roman"/>
          <w:b/>
          <w:color w:val="FF0000"/>
          <w:sz w:val="24"/>
          <w:szCs w:val="24"/>
        </w:rPr>
        <w:t>Definitions for “Research” and "Technical Enrichment”</w:t>
      </w:r>
    </w:p>
    <w:p w:rsidR="00F864E8" w:rsidRPr="00B641BE" w:rsidRDefault="00F864E8" w:rsidP="00F864E8">
      <w:pPr>
        <w:jc w:val="both"/>
        <w:rPr>
          <w:rFonts w:ascii="Times New Roman" w:hAnsi="Times New Roman"/>
          <w:sz w:val="24"/>
          <w:szCs w:val="24"/>
        </w:rPr>
      </w:pPr>
      <w:r w:rsidRPr="00F864E8">
        <w:rPr>
          <w:rFonts w:ascii="Times New Roman" w:hAnsi="Times New Roman"/>
          <w:b/>
          <w:sz w:val="24"/>
          <w:szCs w:val="24"/>
          <w:u w:val="single"/>
        </w:rPr>
        <w:t>Research:</w:t>
      </w:r>
      <w:r w:rsidRPr="00B641BE">
        <w:rPr>
          <w:rFonts w:ascii="Times New Roman" w:hAnsi="Times New Roman"/>
          <w:sz w:val="24"/>
          <w:szCs w:val="24"/>
        </w:rPr>
        <w:t xml:space="preserve">  An important and necessary endeavor that aimed at studying specific code related issue(s)/topics for the purpose of providing solutions to a specific problem or future code change(s) directed at improving the implementation and enforcement of the FBC.  The issue to be researched must be fully understood (i.e. with clear purpose of doing the research/goals); clearly defined with specific scope of work/approach; and within budget.</w:t>
      </w:r>
    </w:p>
    <w:p w:rsidR="00F864E8" w:rsidRPr="00B641BE" w:rsidRDefault="00F864E8" w:rsidP="00F864E8">
      <w:pPr>
        <w:rPr>
          <w:rFonts w:ascii="Times New Roman" w:hAnsi="Times New Roman"/>
          <w:sz w:val="24"/>
          <w:szCs w:val="24"/>
        </w:rPr>
      </w:pPr>
    </w:p>
    <w:p w:rsidR="00F864E8" w:rsidRPr="00B641BE" w:rsidRDefault="00F864E8" w:rsidP="00F864E8">
      <w:pPr>
        <w:jc w:val="both"/>
        <w:rPr>
          <w:rFonts w:ascii="Times New Roman" w:hAnsi="Times New Roman"/>
          <w:sz w:val="24"/>
          <w:szCs w:val="24"/>
        </w:rPr>
      </w:pPr>
      <w:r w:rsidRPr="00F864E8">
        <w:rPr>
          <w:rFonts w:ascii="Times New Roman" w:hAnsi="Times New Roman"/>
          <w:b/>
          <w:sz w:val="24"/>
          <w:szCs w:val="24"/>
          <w:u w:val="single"/>
        </w:rPr>
        <w:t>Technical Enrichment</w:t>
      </w:r>
      <w:r w:rsidRPr="00B641BE">
        <w:rPr>
          <w:rFonts w:ascii="Times New Roman" w:hAnsi="Times New Roman"/>
          <w:sz w:val="24"/>
          <w:szCs w:val="24"/>
          <w:u w:val="single"/>
        </w:rPr>
        <w:t>:</w:t>
      </w:r>
      <w:r w:rsidRPr="00B641BE">
        <w:rPr>
          <w:rFonts w:ascii="Times New Roman" w:hAnsi="Times New Roman"/>
          <w:sz w:val="24"/>
          <w:szCs w:val="24"/>
        </w:rPr>
        <w:t xml:space="preserve"> An important and necessary endeavor that is aimed at evaluating complex related code issue(s)/topics for the purpose of providing educational/clarification experience or alternative solutions directed at improving the implementation and enforcement of the FBC.  Method of delivery for these matters is through workshop/TAC meetings with specific participation of expert(s) in subject area of concern. </w:t>
      </w:r>
    </w:p>
    <w:p w:rsidR="00F864E8" w:rsidRPr="00F864E8" w:rsidRDefault="00F864E8" w:rsidP="00F864E8">
      <w:pPr>
        <w:tabs>
          <w:tab w:val="left" w:pos="990"/>
        </w:tabs>
        <w:jc w:val="both"/>
        <w:rPr>
          <w:rFonts w:ascii="Times New Roman" w:hAnsi="Times New Roman"/>
          <w:b/>
          <w:bCs/>
          <w:smallCaps/>
          <w:sz w:val="24"/>
          <w:szCs w:val="24"/>
        </w:rPr>
      </w:pPr>
      <w:r w:rsidRPr="00F864E8">
        <w:rPr>
          <w:rFonts w:ascii="Times New Roman" w:hAnsi="Times New Roman"/>
          <w:b/>
          <w:bCs/>
          <w:smallCaps/>
          <w:sz w:val="24"/>
          <w:szCs w:val="24"/>
        </w:rPr>
        <w:t>Criteria for Funding</w:t>
      </w:r>
    </w:p>
    <w:p w:rsidR="00F864E8" w:rsidRPr="00B641BE" w:rsidRDefault="00F864E8" w:rsidP="00F864E8">
      <w:pPr>
        <w:pStyle w:val="ListParagraph"/>
        <w:numPr>
          <w:ilvl w:val="0"/>
          <w:numId w:val="2"/>
        </w:numPr>
        <w:tabs>
          <w:tab w:val="left" w:pos="990"/>
        </w:tabs>
        <w:spacing w:after="0" w:line="240" w:lineRule="auto"/>
        <w:jc w:val="both"/>
        <w:rPr>
          <w:bCs/>
        </w:rPr>
      </w:pPr>
      <w:r w:rsidRPr="00B641BE">
        <w:rPr>
          <w:bCs/>
        </w:rPr>
        <w:t>Meets Definition of “Research” and/or “Technical Enrichment.”</w:t>
      </w:r>
    </w:p>
    <w:p w:rsidR="00F864E8" w:rsidRPr="00B641BE" w:rsidRDefault="00F864E8" w:rsidP="00F864E8">
      <w:pPr>
        <w:pStyle w:val="ListParagraph"/>
        <w:numPr>
          <w:ilvl w:val="0"/>
          <w:numId w:val="2"/>
        </w:numPr>
        <w:tabs>
          <w:tab w:val="left" w:pos="990"/>
        </w:tabs>
        <w:spacing w:after="0" w:line="240" w:lineRule="auto"/>
        <w:jc w:val="both"/>
        <w:rPr>
          <w:bCs/>
        </w:rPr>
      </w:pPr>
      <w:r w:rsidRPr="00B641BE">
        <w:rPr>
          <w:bCs/>
        </w:rPr>
        <w:t xml:space="preserve">Within the scope of </w:t>
      </w:r>
      <w:r w:rsidRPr="00B641BE">
        <w:t>hurricane resistance research (water and wind resistance).</w:t>
      </w:r>
    </w:p>
    <w:p w:rsidR="00F864E8" w:rsidRPr="00B641BE" w:rsidRDefault="00F864E8" w:rsidP="00F864E8">
      <w:pPr>
        <w:pStyle w:val="ListParagraph"/>
        <w:numPr>
          <w:ilvl w:val="0"/>
          <w:numId w:val="2"/>
        </w:numPr>
        <w:tabs>
          <w:tab w:val="left" w:pos="990"/>
        </w:tabs>
        <w:spacing w:after="0" w:line="240" w:lineRule="auto"/>
        <w:jc w:val="both"/>
      </w:pPr>
      <w:r w:rsidRPr="00B641BE">
        <w:rPr>
          <w:bCs/>
        </w:rPr>
        <w:t>Urgency/Imm</w:t>
      </w:r>
      <w:r>
        <w:rPr>
          <w:bCs/>
        </w:rPr>
        <w:t>ediacy: Needed to support</w:t>
      </w:r>
      <w:r w:rsidRPr="00B641BE">
        <w:rPr>
          <w:bCs/>
        </w:rPr>
        <w:t xml:space="preserve"> the</w:t>
      </w:r>
      <w:r w:rsidR="00F0527F">
        <w:rPr>
          <w:bCs/>
        </w:rPr>
        <w:t xml:space="preserve"> 2020 Florida Building Code (FBC), or for</w:t>
      </w:r>
      <w:r w:rsidRPr="00B641BE">
        <w:rPr>
          <w:bCs/>
        </w:rPr>
        <w:t xml:space="preserve"> development of 2023 FBC.</w:t>
      </w:r>
    </w:p>
    <w:p w:rsidR="00F864E8" w:rsidRDefault="00F864E8" w:rsidP="00F864E8">
      <w:pPr>
        <w:ind w:left="360"/>
      </w:pPr>
    </w:p>
    <w:p w:rsidR="00F0527F" w:rsidRDefault="00F0527F" w:rsidP="00F864E8">
      <w:pPr>
        <w:ind w:left="360"/>
      </w:pPr>
    </w:p>
    <w:p w:rsidR="00F0527F" w:rsidRDefault="00F0527F" w:rsidP="00F864E8">
      <w:pPr>
        <w:ind w:left="360"/>
      </w:pPr>
    </w:p>
    <w:p w:rsidR="00F0527F" w:rsidRDefault="00F0527F" w:rsidP="00F864E8">
      <w:pPr>
        <w:ind w:left="360"/>
      </w:pPr>
    </w:p>
    <w:tbl>
      <w:tblPr>
        <w:tblStyle w:val="TableGrid"/>
        <w:tblW w:w="0" w:type="auto"/>
        <w:tblInd w:w="360" w:type="dxa"/>
        <w:tblLook w:val="04A0" w:firstRow="1" w:lastRow="0" w:firstColumn="1" w:lastColumn="0" w:noHBand="0" w:noVBand="1"/>
      </w:tblPr>
      <w:tblGrid>
        <w:gridCol w:w="7038"/>
        <w:gridCol w:w="1080"/>
        <w:gridCol w:w="1098"/>
      </w:tblGrid>
      <w:tr w:rsidR="00F0527F" w:rsidTr="00F0527F">
        <w:tc>
          <w:tcPr>
            <w:tcW w:w="7038" w:type="dxa"/>
          </w:tcPr>
          <w:p w:rsidR="00F0527F" w:rsidRPr="00F0527F" w:rsidRDefault="00F0527F" w:rsidP="00F0527F">
            <w:pPr>
              <w:jc w:val="center"/>
              <w:rPr>
                <w:b/>
              </w:rPr>
            </w:pPr>
            <w:r w:rsidRPr="00F0527F">
              <w:rPr>
                <w:b/>
              </w:rPr>
              <w:t>Project Title/Project Proponent</w:t>
            </w:r>
          </w:p>
        </w:tc>
        <w:tc>
          <w:tcPr>
            <w:tcW w:w="1080" w:type="dxa"/>
          </w:tcPr>
          <w:p w:rsidR="00F0527F" w:rsidRPr="00F0527F" w:rsidRDefault="00F0527F" w:rsidP="00F0527F">
            <w:pPr>
              <w:jc w:val="center"/>
              <w:rPr>
                <w:b/>
              </w:rPr>
            </w:pPr>
            <w:r w:rsidRPr="00F0527F">
              <w:rPr>
                <w:b/>
              </w:rPr>
              <w:t>Yes</w:t>
            </w:r>
          </w:p>
          <w:p w:rsidR="00F0527F" w:rsidRPr="00F0527F" w:rsidRDefault="00F0527F" w:rsidP="00F0527F">
            <w:pPr>
              <w:jc w:val="center"/>
              <w:rPr>
                <w:u w:val="single"/>
              </w:rPr>
            </w:pPr>
            <w:r w:rsidRPr="00F0527F">
              <w:rPr>
                <w:b/>
                <w:u w:val="single"/>
              </w:rPr>
              <w:t>&gt;</w:t>
            </w:r>
            <w:r w:rsidRPr="00F0527F">
              <w:rPr>
                <w:b/>
              </w:rPr>
              <w:t xml:space="preserve">  75%</w:t>
            </w:r>
          </w:p>
        </w:tc>
        <w:tc>
          <w:tcPr>
            <w:tcW w:w="1098" w:type="dxa"/>
          </w:tcPr>
          <w:p w:rsidR="00F0527F" w:rsidRPr="00F0527F" w:rsidRDefault="00F0527F" w:rsidP="00F0527F">
            <w:pPr>
              <w:jc w:val="center"/>
              <w:rPr>
                <w:b/>
              </w:rPr>
            </w:pPr>
            <w:r w:rsidRPr="00F0527F">
              <w:rPr>
                <w:b/>
              </w:rPr>
              <w:t>No</w:t>
            </w:r>
          </w:p>
          <w:p w:rsidR="00F0527F" w:rsidRDefault="00F0527F" w:rsidP="00F0527F">
            <w:pPr>
              <w:jc w:val="center"/>
            </w:pPr>
            <w:r w:rsidRPr="00F0527F">
              <w:rPr>
                <w:b/>
              </w:rPr>
              <w:t>&lt; 75%</w:t>
            </w:r>
          </w:p>
        </w:tc>
      </w:tr>
      <w:tr w:rsidR="00F0527F" w:rsidTr="00F0527F">
        <w:trPr>
          <w:trHeight w:val="188"/>
        </w:trPr>
        <w:tc>
          <w:tcPr>
            <w:tcW w:w="7038" w:type="dxa"/>
          </w:tcPr>
          <w:p w:rsidR="00F0527F" w:rsidRDefault="00155179" w:rsidP="00F864E8">
            <w:r>
              <w:t xml:space="preserve">1. </w:t>
            </w:r>
            <w:r w:rsidR="00F0527F">
              <w:t>Industry groups should assess the causes for the widespread asphalt shingle roof covering loss that was observed by the MAT</w:t>
            </w:r>
            <w:r>
              <w:t xml:space="preserve"> </w:t>
            </w:r>
            <w:r w:rsidRPr="00155179">
              <w:rPr>
                <w:b/>
                <w:color w:val="FF0000"/>
              </w:rPr>
              <w:t>(FEMA 1)</w:t>
            </w:r>
          </w:p>
        </w:tc>
        <w:tc>
          <w:tcPr>
            <w:tcW w:w="1080" w:type="dxa"/>
          </w:tcPr>
          <w:p w:rsidR="00F0527F" w:rsidRDefault="00F0527F" w:rsidP="00F864E8"/>
        </w:tc>
        <w:tc>
          <w:tcPr>
            <w:tcW w:w="1098" w:type="dxa"/>
          </w:tcPr>
          <w:p w:rsidR="00F0527F" w:rsidRDefault="00F0527F" w:rsidP="00F864E8"/>
        </w:tc>
      </w:tr>
      <w:tr w:rsidR="00F0527F" w:rsidTr="00F0527F">
        <w:tc>
          <w:tcPr>
            <w:tcW w:w="7038" w:type="dxa"/>
          </w:tcPr>
          <w:p w:rsidR="00F0527F" w:rsidRDefault="00155179" w:rsidP="00F864E8">
            <w:r>
              <w:t xml:space="preserve">2. Industry groups and academia should perform research on commonly used ridge vent products to better determine the causes of ridge vent failure and develop solutions </w:t>
            </w:r>
            <w:r w:rsidRPr="00155179">
              <w:rPr>
                <w:b/>
                <w:color w:val="FF0000"/>
              </w:rPr>
              <w:t>(FEMA 2)</w:t>
            </w:r>
          </w:p>
        </w:tc>
        <w:tc>
          <w:tcPr>
            <w:tcW w:w="1080" w:type="dxa"/>
          </w:tcPr>
          <w:p w:rsidR="00F0527F" w:rsidRDefault="00F0527F" w:rsidP="00F864E8"/>
        </w:tc>
        <w:tc>
          <w:tcPr>
            <w:tcW w:w="1098" w:type="dxa"/>
          </w:tcPr>
          <w:p w:rsidR="00F0527F" w:rsidRDefault="00F0527F" w:rsidP="00F864E8"/>
        </w:tc>
      </w:tr>
      <w:tr w:rsidR="00F0527F" w:rsidTr="00F0527F">
        <w:tc>
          <w:tcPr>
            <w:tcW w:w="7038" w:type="dxa"/>
          </w:tcPr>
          <w:p w:rsidR="00F0527F" w:rsidRDefault="00155179" w:rsidP="00F864E8">
            <w:r>
              <w:t>3. The State of Florida and FDEM should consider reevaluating EHPA criteria and re-assess safety of existing EHPAs, particularly those designed prior to the 6</w:t>
            </w:r>
            <w:r w:rsidRPr="00155179">
              <w:rPr>
                <w:vertAlign w:val="superscript"/>
              </w:rPr>
              <w:t>th</w:t>
            </w:r>
            <w:r>
              <w:t xml:space="preserve"> Edition FBC (2017</w:t>
            </w:r>
            <w:r w:rsidRPr="00F003C1">
              <w:rPr>
                <w:b/>
              </w:rPr>
              <w:t>)</w:t>
            </w:r>
            <w:r w:rsidRPr="00155179">
              <w:rPr>
                <w:b/>
                <w:color w:val="FF0000"/>
              </w:rPr>
              <w:t xml:space="preserve"> (FEMA 3)</w:t>
            </w:r>
            <w:r w:rsidRPr="00155179">
              <w:rPr>
                <w:color w:val="FF0000"/>
              </w:rPr>
              <w:t xml:space="preserve"> </w:t>
            </w:r>
          </w:p>
        </w:tc>
        <w:tc>
          <w:tcPr>
            <w:tcW w:w="1080" w:type="dxa"/>
          </w:tcPr>
          <w:p w:rsidR="00F0527F" w:rsidRDefault="00F0527F" w:rsidP="00F864E8"/>
        </w:tc>
        <w:tc>
          <w:tcPr>
            <w:tcW w:w="1098" w:type="dxa"/>
          </w:tcPr>
          <w:p w:rsidR="00F0527F" w:rsidRDefault="00F0527F" w:rsidP="00F864E8"/>
        </w:tc>
      </w:tr>
      <w:tr w:rsidR="00F0527F" w:rsidTr="00F0527F">
        <w:tc>
          <w:tcPr>
            <w:tcW w:w="7038" w:type="dxa"/>
          </w:tcPr>
          <w:p w:rsidR="00F0527F" w:rsidRDefault="00155179" w:rsidP="00F864E8">
            <w:r>
              <w:t xml:space="preserve">4. FBC should provide more specific criteria with restrictions on how, when, and where </w:t>
            </w:r>
            <w:r w:rsidR="00F003C1">
              <w:t xml:space="preserve">roof aggregate can be used </w:t>
            </w:r>
            <w:r w:rsidR="00F003C1" w:rsidRPr="00F003C1">
              <w:rPr>
                <w:b/>
                <w:color w:val="FF0000"/>
              </w:rPr>
              <w:t>(FEMA 4)</w:t>
            </w:r>
          </w:p>
        </w:tc>
        <w:tc>
          <w:tcPr>
            <w:tcW w:w="1080" w:type="dxa"/>
          </w:tcPr>
          <w:p w:rsidR="00F0527F" w:rsidRDefault="00F0527F" w:rsidP="00F864E8"/>
        </w:tc>
        <w:tc>
          <w:tcPr>
            <w:tcW w:w="1098" w:type="dxa"/>
          </w:tcPr>
          <w:p w:rsidR="00F0527F" w:rsidRDefault="00F0527F" w:rsidP="00F864E8"/>
        </w:tc>
      </w:tr>
      <w:tr w:rsidR="00F0527F" w:rsidTr="00F0527F">
        <w:tc>
          <w:tcPr>
            <w:tcW w:w="7038" w:type="dxa"/>
          </w:tcPr>
          <w:p w:rsidR="00F0527F" w:rsidRDefault="00F003C1" w:rsidP="00F864E8">
            <w:r>
              <w:t xml:space="preserve">5. Industry groups and/or academia should study debris generation and strikes to protective systems during hurricanes to determine whether the wind speed triggers the ASCE 7 wind-borne debris region are appropriate </w:t>
            </w:r>
            <w:r w:rsidRPr="00F003C1">
              <w:rPr>
                <w:b/>
                <w:color w:val="FF0000"/>
              </w:rPr>
              <w:t>(FEMA 5)</w:t>
            </w:r>
          </w:p>
        </w:tc>
        <w:tc>
          <w:tcPr>
            <w:tcW w:w="1080" w:type="dxa"/>
          </w:tcPr>
          <w:p w:rsidR="00F0527F" w:rsidRDefault="00F0527F" w:rsidP="00F864E8"/>
        </w:tc>
        <w:tc>
          <w:tcPr>
            <w:tcW w:w="1098" w:type="dxa"/>
          </w:tcPr>
          <w:p w:rsidR="00F0527F" w:rsidRDefault="00F0527F" w:rsidP="00F864E8"/>
        </w:tc>
      </w:tr>
      <w:tr w:rsidR="00F0527F" w:rsidTr="00F0527F">
        <w:tc>
          <w:tcPr>
            <w:tcW w:w="7038" w:type="dxa"/>
          </w:tcPr>
          <w:p w:rsidR="00F0527F" w:rsidRDefault="00F003C1" w:rsidP="00F864E8">
            <w:r>
              <w:t xml:space="preserve">6. FEMA should work with industry partners to evaluate whether ASTM testing requirements for debris impacts and wind pressures should be adjusted </w:t>
            </w:r>
            <w:r w:rsidRPr="00F003C1">
              <w:rPr>
                <w:b/>
                <w:color w:val="FF0000"/>
              </w:rPr>
              <w:t>(FEMA 6)</w:t>
            </w:r>
          </w:p>
        </w:tc>
        <w:tc>
          <w:tcPr>
            <w:tcW w:w="1080" w:type="dxa"/>
          </w:tcPr>
          <w:p w:rsidR="00F0527F" w:rsidRDefault="00F0527F" w:rsidP="00F864E8"/>
        </w:tc>
        <w:tc>
          <w:tcPr>
            <w:tcW w:w="1098" w:type="dxa"/>
          </w:tcPr>
          <w:p w:rsidR="00F0527F" w:rsidRDefault="00F0527F" w:rsidP="00F864E8"/>
        </w:tc>
      </w:tr>
      <w:tr w:rsidR="00F0527F" w:rsidTr="00F0527F">
        <w:tc>
          <w:tcPr>
            <w:tcW w:w="7038" w:type="dxa"/>
          </w:tcPr>
          <w:p w:rsidR="00F0527F" w:rsidRDefault="00F003C1" w:rsidP="00F864E8">
            <w:r>
              <w:t xml:space="preserve">7. </w:t>
            </w:r>
            <w:r w:rsidRPr="00F003C1">
              <w:rPr>
                <w:rFonts w:ascii="Arial-BoldMT" w:hAnsi="Arial-BoldMT" w:cs="Arial-BoldMT"/>
                <w:bCs/>
                <w:sz w:val="20"/>
                <w:szCs w:val="20"/>
              </w:rPr>
              <w:t>Assessing the Need to Modernize Water Penetration Resistance Test Procedures</w:t>
            </w:r>
            <w:r>
              <w:rPr>
                <w:rFonts w:ascii="Arial-BoldMT" w:hAnsi="Arial-BoldMT" w:cs="Arial-BoldMT"/>
                <w:bCs/>
                <w:sz w:val="20"/>
                <w:szCs w:val="20"/>
              </w:rPr>
              <w:t xml:space="preserve"> </w:t>
            </w:r>
            <w:r w:rsidRPr="00512FEC">
              <w:rPr>
                <w:rFonts w:ascii="Arial-BoldMT" w:hAnsi="Arial-BoldMT" w:cs="Arial-BoldMT"/>
                <w:b/>
                <w:bCs/>
                <w:color w:val="FF0000"/>
                <w:sz w:val="20"/>
                <w:szCs w:val="20"/>
              </w:rPr>
              <w:t>(</w:t>
            </w:r>
            <w:r w:rsidR="00512FEC" w:rsidRPr="00512FEC">
              <w:rPr>
                <w:rFonts w:ascii="Arial-BoldMT" w:hAnsi="Arial-BoldMT" w:cs="Arial-BoldMT"/>
                <w:b/>
                <w:bCs/>
                <w:color w:val="FF0000"/>
                <w:sz w:val="20"/>
                <w:szCs w:val="20"/>
              </w:rPr>
              <w:t>UF 1)</w:t>
            </w:r>
          </w:p>
        </w:tc>
        <w:tc>
          <w:tcPr>
            <w:tcW w:w="1080" w:type="dxa"/>
          </w:tcPr>
          <w:p w:rsidR="00F0527F" w:rsidRDefault="00F0527F" w:rsidP="00F864E8"/>
        </w:tc>
        <w:tc>
          <w:tcPr>
            <w:tcW w:w="1098" w:type="dxa"/>
          </w:tcPr>
          <w:p w:rsidR="00F0527F" w:rsidRDefault="00F0527F" w:rsidP="00F864E8"/>
        </w:tc>
      </w:tr>
      <w:tr w:rsidR="00512FEC" w:rsidTr="00F0527F">
        <w:tc>
          <w:tcPr>
            <w:tcW w:w="7038" w:type="dxa"/>
          </w:tcPr>
          <w:p w:rsidR="00512FEC" w:rsidRDefault="00512FEC" w:rsidP="00F864E8">
            <w:r>
              <w:t xml:space="preserve">8. </w:t>
            </w:r>
            <w:r w:rsidRPr="00C55313">
              <w:t>Assessment of Inspection Reporting and Building Conditions in South Florida (Miami-Dade and Broward Counties) – Phase II</w:t>
            </w:r>
            <w:r>
              <w:t xml:space="preserve"> </w:t>
            </w:r>
            <w:r w:rsidRPr="00512FEC">
              <w:rPr>
                <w:b/>
                <w:color w:val="FF0000"/>
              </w:rPr>
              <w:t>(UF 2)</w:t>
            </w:r>
          </w:p>
        </w:tc>
        <w:tc>
          <w:tcPr>
            <w:tcW w:w="1080" w:type="dxa"/>
          </w:tcPr>
          <w:p w:rsidR="00512FEC" w:rsidRDefault="00512FEC" w:rsidP="00F864E8"/>
        </w:tc>
        <w:tc>
          <w:tcPr>
            <w:tcW w:w="1098" w:type="dxa"/>
          </w:tcPr>
          <w:p w:rsidR="00512FEC" w:rsidRDefault="00512FEC" w:rsidP="00F864E8"/>
        </w:tc>
      </w:tr>
      <w:tr w:rsidR="00512FEC" w:rsidTr="00F0527F">
        <w:tc>
          <w:tcPr>
            <w:tcW w:w="7038" w:type="dxa"/>
          </w:tcPr>
          <w:p w:rsidR="00512FEC" w:rsidRPr="00512FEC" w:rsidRDefault="00512FEC" w:rsidP="00512FEC">
            <w:pPr>
              <w:rPr>
                <w:rFonts w:ascii="Calibri" w:hAnsi="Calibri" w:cs="Calibri"/>
              </w:rPr>
            </w:pPr>
            <w:r>
              <w:t xml:space="preserve">9. </w:t>
            </w:r>
            <w:r w:rsidRPr="00512FEC">
              <w:rPr>
                <w:rFonts w:ascii="Calibri" w:hAnsi="Calibri" w:cs="Calibri"/>
              </w:rPr>
              <w:t>Chloride Penetration Into Concrete</w:t>
            </w:r>
            <w:r>
              <w:rPr>
                <w:rFonts w:ascii="Calibri" w:hAnsi="Calibri" w:cs="Calibri"/>
              </w:rPr>
              <w:t xml:space="preserve"> </w:t>
            </w:r>
            <w:r>
              <w:rPr>
                <w:rFonts w:ascii="Calibri" w:hAnsi="Calibri" w:cs="Calibri"/>
                <w:b/>
                <w:color w:val="FF0000"/>
              </w:rPr>
              <w:t>(Miami-Dade</w:t>
            </w:r>
            <w:r w:rsidRPr="00512FEC">
              <w:rPr>
                <w:rFonts w:ascii="Calibri" w:hAnsi="Calibri" w:cs="Calibri"/>
                <w:b/>
                <w:color w:val="FF0000"/>
              </w:rPr>
              <w:t>)</w:t>
            </w:r>
          </w:p>
          <w:p w:rsidR="00512FEC" w:rsidRDefault="00512FEC" w:rsidP="00F864E8"/>
        </w:tc>
        <w:tc>
          <w:tcPr>
            <w:tcW w:w="1080" w:type="dxa"/>
          </w:tcPr>
          <w:p w:rsidR="00512FEC" w:rsidRDefault="00512FEC" w:rsidP="00F864E8"/>
        </w:tc>
        <w:tc>
          <w:tcPr>
            <w:tcW w:w="1098" w:type="dxa"/>
          </w:tcPr>
          <w:p w:rsidR="00512FEC" w:rsidRDefault="00512FEC" w:rsidP="00F864E8"/>
        </w:tc>
      </w:tr>
      <w:tr w:rsidR="006A5F7C" w:rsidTr="00F0527F">
        <w:tc>
          <w:tcPr>
            <w:tcW w:w="7038" w:type="dxa"/>
          </w:tcPr>
          <w:p w:rsidR="006A5F7C" w:rsidRDefault="006A5F7C" w:rsidP="00512FEC">
            <w:r>
              <w:t xml:space="preserve">10. Wind-induced loads on ground-mounted equipment </w:t>
            </w:r>
            <w:r w:rsidRPr="006A5F7C">
              <w:rPr>
                <w:b/>
                <w:color w:val="FF0000"/>
              </w:rPr>
              <w:t>(FIU)</w:t>
            </w:r>
          </w:p>
        </w:tc>
        <w:tc>
          <w:tcPr>
            <w:tcW w:w="1080" w:type="dxa"/>
          </w:tcPr>
          <w:p w:rsidR="006A5F7C" w:rsidRDefault="006A5F7C" w:rsidP="00F864E8"/>
        </w:tc>
        <w:tc>
          <w:tcPr>
            <w:tcW w:w="1098" w:type="dxa"/>
          </w:tcPr>
          <w:p w:rsidR="006A5F7C" w:rsidRDefault="006A5F7C" w:rsidP="00F864E8"/>
        </w:tc>
      </w:tr>
    </w:tbl>
    <w:p w:rsidR="00F0527F" w:rsidRPr="0009608B" w:rsidRDefault="00F0527F" w:rsidP="00F864E8">
      <w:pPr>
        <w:ind w:left="360"/>
      </w:pPr>
      <w:bookmarkStart w:id="0" w:name="_GoBack"/>
      <w:bookmarkEnd w:id="0"/>
    </w:p>
    <w:sectPr w:rsidR="00F0527F" w:rsidRPr="00096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10595"/>
    <w:multiLevelType w:val="hybridMultilevel"/>
    <w:tmpl w:val="2958A2B0"/>
    <w:lvl w:ilvl="0" w:tplc="36584724">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373F9B"/>
    <w:multiLevelType w:val="hybridMultilevel"/>
    <w:tmpl w:val="2B364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08B"/>
    <w:rsid w:val="0009608B"/>
    <w:rsid w:val="00155179"/>
    <w:rsid w:val="00512FEC"/>
    <w:rsid w:val="006A5F7C"/>
    <w:rsid w:val="00720C1C"/>
    <w:rsid w:val="00F003C1"/>
    <w:rsid w:val="00F0527F"/>
    <w:rsid w:val="00F86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08B"/>
    <w:pPr>
      <w:ind w:left="720"/>
      <w:contextualSpacing/>
    </w:pPr>
  </w:style>
  <w:style w:type="table" w:styleId="TableGrid">
    <w:name w:val="Table Grid"/>
    <w:basedOn w:val="TableNormal"/>
    <w:uiPriority w:val="59"/>
    <w:rsid w:val="00F05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08B"/>
    <w:pPr>
      <w:ind w:left="720"/>
      <w:contextualSpacing/>
    </w:pPr>
  </w:style>
  <w:style w:type="table" w:styleId="TableGrid">
    <w:name w:val="Table Grid"/>
    <w:basedOn w:val="TableNormal"/>
    <w:uiPriority w:val="59"/>
    <w:rsid w:val="00F05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2</cp:revision>
  <dcterms:created xsi:type="dcterms:W3CDTF">2022-04-07T12:12:00Z</dcterms:created>
  <dcterms:modified xsi:type="dcterms:W3CDTF">2022-04-13T14:07:00Z</dcterms:modified>
</cp:coreProperties>
</file>